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-20320</wp:posOffset>
            </wp:positionH>
            <wp:positionV relativeFrom="paragraph">
              <wp:posOffset>5080</wp:posOffset>
            </wp:positionV>
            <wp:extent cx="1577340" cy="16249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" t="-6" r="-7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62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Secrétariat Général pour l’Administration</w:t>
      </w:r>
    </w:p>
    <w:p>
      <w:pPr>
        <w:pStyle w:val="Header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du Ministère de l’Intérieur</w:t>
      </w:r>
    </w:p>
    <w:p>
      <w:pPr>
        <w:pStyle w:val="Header"/>
        <w:jc w:val="right"/>
        <w:rPr>
          <w:rFonts w:ascii="Marianne" w:hAnsi="Marianne" w:cs="Marianne"/>
          <w:b/>
          <w:bCs/>
          <w:sz w:val="24"/>
          <w:szCs w:val="24"/>
        </w:rPr>
      </w:pPr>
      <w:r>
        <w:rPr>
          <w:rFonts w:cs="Marianne" w:ascii="Marianne" w:hAnsi="Marianne"/>
          <w:b/>
          <w:bCs/>
          <w:sz w:val="24"/>
          <w:szCs w:val="24"/>
        </w:rPr>
        <w:t>du Sud-Ouest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Marianne" w:hAnsi="Marianne" w:cs="Tahoma"/>
          <w:b/>
          <w:sz w:val="28"/>
          <w:szCs w:val="28"/>
        </w:rPr>
      </w:pPr>
      <w:r>
        <w:rPr>
          <w:rFonts w:cs="Tahoma" w:ascii="Marianne" w:hAnsi="Marianne"/>
          <w:b/>
          <w:sz w:val="28"/>
          <w:szCs w:val="28"/>
        </w:rPr>
      </w:r>
    </w:p>
    <w:p>
      <w:pPr>
        <w:pStyle w:val="Normal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cs="Tahoma" w:ascii="Tahoma" w:hAnsi="Tahoma"/>
          <w:b/>
          <w:sz w:val="24"/>
          <w:szCs w:val="24"/>
        </w:rPr>
        <w:t>Marché public de prestations intellectuelles</w:t>
      </w:r>
    </w:p>
    <w:p>
      <w:pPr>
        <w:pStyle w:val="Normal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Heading7"/>
        <w:keepNext w:val="true"/>
        <w:widowControl/>
        <w:numPr>
          <w:ilvl w:val="0"/>
          <w:numId w:val="0"/>
        </w:numPr>
        <w:suppressAutoHyphens w:val="true"/>
        <w:bidi w:val="0"/>
        <w:spacing w:before="120" w:after="120"/>
        <w:ind w:hanging="0" w:left="0" w:right="0"/>
        <w:jc w:val="center"/>
        <w:rPr>
          <w:rFonts w:ascii="Tahoma" w:hAnsi="Tahoma" w:cs="Tahoma"/>
          <w:b/>
          <w:bCs/>
          <w:i/>
          <w:i/>
          <w:iCs/>
          <w:strike w:val="false"/>
          <w:dstrike w:val="false"/>
          <w:sz w:val="20"/>
          <w:szCs w:val="20"/>
          <w:shd w:fill="auto" w:val="clear"/>
          <w:lang w:val="fr-FR"/>
        </w:rPr>
      </w:pPr>
      <w:r>
        <w:rPr>
          <w:rFonts w:cs="Tahoma" w:ascii="Tahoma" w:hAnsi="Tahoma"/>
          <w:b/>
          <w:bCs/>
          <w:i/>
          <w:iCs/>
          <w:strike w:val="false"/>
          <w:dstrike w:val="false"/>
          <w:sz w:val="20"/>
          <w:szCs w:val="20"/>
          <w:shd w:fill="auto" w:val="clear"/>
          <w:lang w:val="fr-FR"/>
        </w:rPr>
        <w:t>Marché passé en Procédure adaptée en application des articles R2123-1 à R2123-7 du Code de la commande publique</w:t>
      </w:r>
    </w:p>
    <w:p>
      <w:pPr>
        <w:pStyle w:val="Normal"/>
        <w:jc w:val="center"/>
        <w:rPr>
          <w:rFonts w:ascii="Marianne" w:hAnsi="Marianne" w:eastAsia="Calibri" w:cs="Tahoma"/>
          <w:b/>
          <w:sz w:val="22"/>
          <w:szCs w:val="22"/>
          <w:shd w:fill="auto" w:val="clear"/>
        </w:rPr>
      </w:pPr>
      <w:r>
        <w:rPr>
          <w:rFonts w:eastAsia="Calibri" w:cs="Tahoma" w:ascii="Marianne" w:hAnsi="Marianne"/>
          <w:b/>
          <w:sz w:val="22"/>
          <w:szCs w:val="22"/>
          <w:shd w:fill="auto" w:val="clear"/>
        </w:rPr>
      </w:r>
    </w:p>
    <w:p>
      <w:pPr>
        <w:pStyle w:val="Normal"/>
        <w:jc w:val="center"/>
        <w:rPr>
          <w:rFonts w:ascii="Marianne" w:hAnsi="Marianne" w:eastAsia="Calibri" w:cs="Tahoma"/>
          <w:b/>
          <w:sz w:val="22"/>
          <w:szCs w:val="22"/>
        </w:rPr>
      </w:pPr>
      <w:r>
        <w:rPr>
          <w:rFonts w:eastAsia="Calibri" w:cs="Tahoma" w:ascii="Marianne" w:hAnsi="Marianne"/>
          <w:b/>
          <w:sz w:val="22"/>
          <w:szCs w:val="22"/>
        </w:rPr>
      </w:r>
    </w:p>
    <w:p>
      <w:pPr>
        <w:pStyle w:val="Normal"/>
        <w:jc w:val="center"/>
        <w:rPr>
          <w:rFonts w:ascii="Marianne" w:hAnsi="Marianne" w:cs="Tahoma"/>
          <w:b/>
          <w:bCs/>
          <w:sz w:val="28"/>
          <w:szCs w:val="28"/>
          <w:shd w:fill="FFFFFF" w:val="clear"/>
        </w:rPr>
      </w:pPr>
      <w:r>
        <w:rPr>
          <w:rFonts w:cs="Tahoma" w:ascii="Marianne" w:hAnsi="Marianne"/>
          <w:b/>
          <w:bCs/>
          <w:sz w:val="28"/>
          <w:szCs w:val="28"/>
          <w:shd w:fill="FFFFFF" w:val="clear"/>
        </w:rPr>
      </w:r>
    </w:p>
    <w:p>
      <w:pPr>
        <w:pStyle w:val="Corpsdetexte2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Marianne" w:hAnsi="Marianne" w:cs="Tahoma"/>
          <w:b/>
          <w:bCs/>
          <w:i/>
          <w:i/>
          <w:iCs/>
          <w:color w:val="000000"/>
          <w:sz w:val="32"/>
          <w:szCs w:val="32"/>
          <w:shd w:fill="auto" w:val="clear"/>
        </w:rPr>
      </w:pPr>
      <w:r>
        <w:rPr>
          <w:rFonts w:cs="Tahoma" w:ascii="Marianne" w:hAnsi="Marianne"/>
          <w:b/>
          <w:bCs/>
          <w:i/>
          <w:iCs/>
          <w:color w:val="000000"/>
          <w:sz w:val="32"/>
          <w:szCs w:val="32"/>
          <w:shd w:fill="auto" w:val="clear"/>
        </w:rPr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Tahoma" w:hAnsi="Tahoma" w:eastAsia="Calibri" w:cs="Tahoma"/>
          <w:b/>
          <w:bCs/>
          <w:i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</w:pPr>
      <w:r>
        <w:rPr>
          <w:rFonts w:eastAsia="Calibri" w:cs="Tahoma" w:ascii="Tahoma" w:hAnsi="Tahoma"/>
          <w:b/>
          <w:bCs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 xml:space="preserve">Mission d’Assistance à Maîtrise d’Ouvrage (AMO) programmiste dans le cadre </w:t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Tahoma" w:hAnsi="Tahoma" w:eastAsia="Calibri" w:cs="Tahoma"/>
          <w:b/>
          <w:bCs/>
          <w:i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</w:pPr>
      <w:r>
        <w:rPr>
          <w:rFonts w:eastAsia="Calibri" w:cs="Tahoma" w:ascii="Tahoma" w:hAnsi="Tahoma"/>
          <w:b/>
          <w:bCs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 xml:space="preserve">d’une opération de réhabilitation et d’extension d’une soute à munitions </w:t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Tahoma" w:hAnsi="Tahoma" w:eastAsia="Calibri" w:cs="Tahoma"/>
          <w:b/>
          <w:bCs/>
          <w:i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</w:pPr>
      <w:r>
        <w:rPr>
          <w:rFonts w:eastAsia="Calibri" w:cs="Tahoma" w:ascii="Tahoma" w:hAnsi="Tahoma"/>
          <w:b/>
          <w:bCs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 xml:space="preserve">sur le Centre National d’Entraînement des Forces de Gendarmerie (CNEFG), </w:t>
      </w:r>
    </w:p>
    <w:p>
      <w:pPr>
        <w:pStyle w:val="Normal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Tahoma" w:hAnsi="Tahoma" w:eastAsia="Calibri" w:cs="Tahoma"/>
          <w:b/>
          <w:bCs/>
          <w:i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</w:pPr>
      <w:r>
        <w:rPr>
          <w:rFonts w:eastAsia="Calibri" w:cs="Tahoma" w:ascii="Tahoma" w:hAnsi="Tahoma"/>
          <w:b/>
          <w:bCs/>
          <w:i/>
          <w:iCs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 xml:space="preserve">Caserne Général Dupuy à Saint-Astier (24) </w:t>
      </w:r>
    </w:p>
    <w:p>
      <w:pPr>
        <w:pStyle w:val="Corpsdetexte2"/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 w:val="true"/>
        <w:overflowPunct w:val="true"/>
        <w:bidi w:val="0"/>
        <w:ind w:hanging="0" w:left="0" w:right="0"/>
        <w:jc w:val="center"/>
        <w:rPr>
          <w:rFonts w:ascii="Marianne" w:hAnsi="Marianne" w:cs="Tahoma"/>
          <w:b/>
          <w:bCs/>
          <w:sz w:val="28"/>
          <w:szCs w:val="28"/>
          <w:shd w:fill="auto" w:val="clear"/>
        </w:rPr>
      </w:pPr>
      <w:r>
        <w:rPr>
          <w:rFonts w:cs="Tahoma" w:ascii="Marianne" w:hAnsi="Marianne"/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Marianne" w:hAnsi="Marianne" w:cs="Tahoma"/>
          <w:b/>
          <w:bCs/>
          <w:sz w:val="22"/>
          <w:szCs w:val="22"/>
          <w:shd w:fill="FFFFFF" w:val="clear"/>
        </w:rPr>
      </w:pPr>
      <w:r>
        <w:rPr>
          <w:rFonts w:cs="Tahoma" w:ascii="Marianne" w:hAnsi="Marianne"/>
          <w:b/>
          <w:bCs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Marianne" w:hAnsi="Marianne" w:cs="Tahoma"/>
          <w:b/>
          <w:bCs/>
          <w:sz w:val="22"/>
          <w:szCs w:val="22"/>
          <w:shd w:fill="FFFFFF" w:val="clear"/>
        </w:rPr>
      </w:pPr>
      <w:r>
        <w:rPr>
          <w:rFonts w:cs="Tahoma" w:ascii="Marianne" w:hAnsi="Marianne"/>
          <w:b/>
          <w:bCs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</w:r>
    </w:p>
    <w:p>
      <w:pPr>
        <w:pStyle w:val="Normal"/>
        <w:jc w:val="center"/>
        <w:rPr>
          <w:rFonts w:ascii="Tahoma" w:hAnsi="Tahoma" w:cs="Tahoma"/>
          <w:b/>
          <w:bCs/>
          <w:sz w:val="28"/>
          <w:szCs w:val="28"/>
          <w:shd w:fill="FFFFFF" w:val="clear"/>
        </w:rPr>
      </w:pPr>
      <w:r>
        <w:rPr>
          <w:rFonts w:cs="Tahoma" w:ascii="Tahoma" w:hAnsi="Tahoma"/>
          <w:b/>
          <w:bCs/>
          <w:sz w:val="28"/>
          <w:szCs w:val="28"/>
          <w:shd w:fill="FFFFFF" w:val="clear"/>
        </w:rPr>
        <w:t xml:space="preserve">Annexe 1 : Cadre de réponse au format A3 des 5 références illustrées </w:t>
      </w:r>
    </w:p>
    <w:p>
      <w:pPr>
        <w:pStyle w:val="Normal"/>
        <w:rPr>
          <w:rFonts w:ascii="Marianne" w:hAnsi="Marianne" w:cs="Tahoma"/>
          <w:b w:val="false"/>
          <w:bCs w:val="false"/>
          <w:sz w:val="22"/>
          <w:szCs w:val="22"/>
          <w:shd w:fill="FFFFFF" w:val="clear"/>
          <w:lang w:val="fr-FR"/>
        </w:rPr>
      </w:pPr>
      <w:r>
        <w:rPr>
          <w:rFonts w:cs="Tahoma" w:ascii="Marianne" w:hAnsi="Marianne"/>
          <w:b w:val="false"/>
          <w:bCs w:val="false"/>
          <w:sz w:val="22"/>
          <w:szCs w:val="22"/>
          <w:shd w:fill="FFFFFF" w:val="clear"/>
          <w:lang w:val="fr-FR"/>
        </w:rPr>
      </w:r>
    </w:p>
    <w:p>
      <w:pPr>
        <w:pStyle w:val="Normal"/>
        <w:rPr>
          <w:rFonts w:ascii="Marianne" w:hAnsi="Marianne" w:cs="Tahoma"/>
          <w:b w:val="false"/>
          <w:bCs w:val="false"/>
          <w:sz w:val="22"/>
          <w:szCs w:val="22"/>
          <w:shd w:fill="FFFFFF" w:val="clear"/>
          <w:lang w:val="fr-FR"/>
        </w:rPr>
      </w:pPr>
      <w:r>
        <w:rPr>
          <w:rFonts w:cs="Tahoma" w:ascii="Marianne" w:hAnsi="Marianne"/>
          <w:b w:val="false"/>
          <w:bCs w:val="false"/>
          <w:sz w:val="22"/>
          <w:szCs w:val="22"/>
          <w:shd w:fill="FFFFFF" w:val="clear"/>
          <w:lang w:val="fr-FR"/>
        </w:rPr>
      </w:r>
    </w:p>
    <w:p>
      <w:pPr>
        <w:sectPr>
          <w:type w:val="nextPage"/>
          <w:pgSz w:orient="landscape" w:w="23811" w:h="16838"/>
          <w:pgMar w:left="720" w:right="720" w:gutter="0" w:header="0" w:top="720" w:footer="0" w:bottom="720"/>
          <w:pgNumType w:fmt="decimal"/>
          <w:formProt w:val="false"/>
          <w:textDirection w:val="lrTb"/>
          <w:docGrid w:type="default" w:linePitch="360" w:charSpace="8192"/>
        </w:sectPr>
        <w:pStyle w:val="Normal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/>
          <w:sz w:val="28"/>
          <w:szCs w:val="28"/>
          <w:shd w:fill="auto" w:val="clear"/>
        </w:rPr>
        <w:t>SGAMI33-2025-29-FCS</w:t>
      </w:r>
      <w:r>
        <w:br w:type="page"/>
      </w:r>
    </w:p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</w:pPr>
      <w:r>
        <w:rPr>
          <w:rFonts w:asciiTheme="minorHAnsi" w:hAnsiTheme="minorHAnsi" w:ascii="Calibri" w:hAnsi="Calibri"/>
          <w:b/>
          <w:bCs/>
          <w:sz w:val="22"/>
          <w:szCs w:val="22"/>
          <w:shd w:fill="auto" w:val="clear"/>
        </w:rPr>
      </w:r>
    </w:p>
    <w:p>
      <w:pPr>
        <w:pStyle w:val="Normal"/>
        <w:pageBreakBefore w:val="false"/>
        <w:overflowPunct w:val="false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</w:pPr>
      <w:r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  <w:t>Photos (facultatives) de la référence n° 1 , référence technique et environnementale  mettant en valeur la programmation de projets de type ICPE</w:t>
      </w:r>
    </w:p>
    <w:p>
      <w:pPr>
        <w:pStyle w:val="Normal"/>
        <w:pageBreakBefore w:val="false"/>
        <w:overflowPunct w:val="false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</w:pPr>
      <w:r>
        <w:rPr>
          <w:rFonts w:asciiTheme="minorHAnsi" w:hAnsiTheme="minorHAnsi" w:ascii="Calibri" w:hAnsi="Calibri"/>
          <w:b/>
          <w:bCs/>
          <w:sz w:val="22"/>
          <w:szCs w:val="22"/>
          <w:shd w:fill="auto" w:val="clear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>
          <w:trHeight w:val="1629" w:hRule="atLeast"/>
        </w:trPr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ascii="Calibri" w:hAnsi="Calibri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 du marché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 AMO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SU , SDO, SDP et SDO/SU: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 technique et environnemental</w:t>
            </w: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 xml:space="preserve">   </w:t>
            </w:r>
            <w:bookmarkStart w:id="0" w:name="_Hlk52784694"/>
            <w:bookmarkEnd w:id="0"/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jc w:val="center"/>
        <w:rPr>
          <w:rFonts w:ascii="Calibri" w:hAnsi="Calibri" w:asciiTheme="minorHAnsi" w:hAnsiTheme="minorHAnsi"/>
          <w:sz w:val="28"/>
          <w:szCs w:val="28"/>
        </w:rPr>
      </w:pPr>
      <w:r>
        <w:rPr>
          <w:rFonts w:asciiTheme="minorHAnsi" w:hAnsiTheme="minorHAnsi" w:ascii="Calibri" w:hAnsi="Calibri"/>
          <w:sz w:val="28"/>
          <w:szCs w:val="28"/>
        </w:rPr>
      </w:r>
      <w:r>
        <w:br w:type="page"/>
      </w:r>
    </w:p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 w:asciiTheme="minorHAnsi" w:hAnsiTheme="minorHAnsi"/>
          <w:highlight w:val="none"/>
          <w:shd w:fill="FFFF00" w:val="clear"/>
        </w:rPr>
      </w:pPr>
      <w:r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  <w:t>Photos (facultatives) de la référence n° 2 , référence technique et environnementale  mettant en valeur la programmation de projets de type ICPE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ascii="Calibri" w:hAnsi="Calibri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 du marché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 AMO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SU , SDO, SDP et SDO/SU: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Spécificités du projet technique et environnemental</w:t>
            </w: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 xml:space="preserve">   </w:t>
            </w:r>
            <w:bookmarkStart w:id="1" w:name="_Hlk52784694_Copie_1"/>
            <w:bookmarkEnd w:id="1"/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shd w:fill="auto" w:val="clear"/>
        </w:rPr>
        <w:t>Photos (facultatives) de la référence n° 3 ,  référence technique mettant en valeur la programmation de bâtiment sur des sites géotechnique au-dessus ou à proximité d’ouvrages enterrés (de type tunnel, carrières ou autres…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ascii="Calibri" w:hAnsi="Calibri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 du marché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 AMO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SU , SDO, SDP et SDO/SU: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Spécificités du projet technique   </w:t>
            </w:r>
            <w:bookmarkStart w:id="2" w:name="_Hlk52784694_Copie_1_Copie_1"/>
            <w:bookmarkEnd w:id="2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shd w:fill="auto" w:val="clear"/>
        </w:rPr>
        <w:t>Photos (facultatives) de la référence n° 4 ,  référence technique mettant en valeur la programmation de bâtiment sur des sites géotechnique au-dessus ou à proximité d’ouvrages enterrés (de type tunnel, carrières ou autres…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ascii="Calibri" w:hAnsi="Calibri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 du marché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 AMO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SU , SDO, SDP et SDO/SU: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Spécificités du projet technique   </w:t>
            </w:r>
            <w:bookmarkStart w:id="3" w:name="_Hlk52784694_Copie_1_Copie_1_Copie_1"/>
            <w:bookmarkEnd w:id="3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  <w:r>
        <w:br w:type="page"/>
      </w:r>
    </w:p>
    <w:p>
      <w:pPr>
        <w:pStyle w:val="Normal"/>
        <w:overflowPunct w:val="false"/>
        <w:spacing w:before="0" w:after="0"/>
        <w:jc w:val="center"/>
        <w:textAlignment w:val="auto"/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</w:pPr>
      <w:r>
        <w:rPr>
          <w:rFonts w:ascii="Calibri" w:hAnsi="Calibri" w:asciiTheme="minorHAnsi" w:hAnsiTheme="minorHAnsi"/>
          <w:b/>
          <w:bCs/>
          <w:sz w:val="22"/>
          <w:szCs w:val="22"/>
          <w:shd w:fill="auto" w:val="clear"/>
        </w:rPr>
        <w:t xml:space="preserve">Photos (facultatives) de la référence n° 5, référence mettant en valeur la programmation de projets sur des sites occupés. Il sera privilégié des projets sur des sites présentant des enjeux de sûreté (gendarmerie, police, site militaire...). </w:t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tbl>
      <w:tblPr>
        <w:tblStyle w:val="Grilledutableau"/>
        <w:tblW w:w="2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9"/>
      </w:tblGrid>
      <w:tr>
        <w:trPr/>
        <w:tc>
          <w:tcPr>
            <w:tcW w:w="223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Intitulé de l’opération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Date de réalisation et stade d’avancement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Type de projet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Maître d’Ouvrage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Membre de l’équipe portant cette référence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Autres membres composant l’équipe d’AMO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ascii="Calibri" w:hAnsi="Calibri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 du marché AMO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Montant des travaux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études AMO 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Délais des travaux 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kern w:val="0"/>
                <w:sz w:val="22"/>
                <w:szCs w:val="22"/>
                <w:lang w:val="fr-FR" w:eastAsia="fr-FR" w:bidi="ar-SA"/>
              </w:rPr>
              <w:t>Surface SU , SDO, SDP et SDO/SU: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Spécificités du projet site occupé   </w:t>
            </w:r>
            <w:bookmarkStart w:id="4" w:name="_Hlk52784694_Copie_1_Copie_1_Copie_1_Cop"/>
            <w:bookmarkEnd w:id="4"/>
            <w:r>
              <w:rPr>
                <w:rFonts w:eastAsia="Times New Roman" w:ascii="Calibri" w:hAnsi="Calibri" w:ascii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Calibri" w:hAnsi="Calibri" w:asciiTheme="minorHAnsi" w:hAnsiTheme="minorHAnsi"/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 w:ascii="Calibri" w:hAnsi="Calibri"/>
                <w:b/>
                <w:bCs/>
                <w:sz w:val="10"/>
                <w:szCs w:val="10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sectPr>
      <w:footerReference w:type="even" r:id="rId3"/>
      <w:footerReference w:type="default" r:id="rId4"/>
      <w:footerReference w:type="first" r:id="rId5"/>
      <w:type w:val="nextPage"/>
      <w:pgSz w:orient="landscape" w:w="23811" w:h="16838"/>
      <w:pgMar w:left="720" w:right="720" w:gutter="0" w:header="0" w:top="720" w:footer="709" w:bottom="766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Times">
    <w:altName w:val="Times New Roman"/>
    <w:charset w:val="01"/>
    <w:family w:val="auto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rebuchet MS">
    <w:charset w:val="01"/>
    <w:family w:val="auto"/>
    <w:pitch w:val="default"/>
  </w:font>
  <w:font w:name="Calibri">
    <w:charset w:val="01"/>
    <w:family w:val="auto"/>
    <w:pitch w:val="default"/>
  </w:font>
  <w:font w:name="Marianne">
    <w:charset w:val="01"/>
    <w:family w:val="auto"/>
    <w:pitch w:val="default"/>
  </w:font>
  <w:font w:name="Marianne Light">
    <w:charset w:val="01"/>
    <w:family w:val="auto"/>
    <w:pitch w:val="default"/>
  </w:font>
  <w:font w:name="Times">
    <w:altName w:val="Times New Roman"/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639" w:leader="none"/>
      </w:tabs>
      <w:ind w:right="-1"/>
      <w:jc w:val="both"/>
      <w:rPr>
        <w:rFonts w:ascii="Marianne Light" w:hAnsi="Marianne Light"/>
        <w:i w:val="false"/>
        <w:i w:val="false"/>
        <w:iCs w:val="false"/>
        <w:color w:val="BABABA"/>
        <w:sz w:val="16"/>
        <w:szCs w:val="16"/>
        <w:shd w:fill="auto" w:val="clear"/>
      </w:rPr>
    </w:pPr>
    <w:r>
      <w:rPr>
        <w:rFonts w:ascii="Marianne Light" w:hAnsi="Marianne Light"/>
        <w:b/>
        <w:i w:val="false"/>
        <w:iCs w:val="false"/>
        <w:color w:val="BABABA"/>
        <w:sz w:val="16"/>
        <w:szCs w:val="16"/>
        <w:shd w:fill="auto" w:val="clear"/>
      </w:rPr>
      <w:t>SGAMI SUD-OUEST / DIM / BZAI / SAINT ASTIER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ab/>
      <w:tab/>
      <w:t xml:space="preserve">                  </w:t>
      <w:tab/>
      <w:tab/>
      <w:tab/>
      <w:tab/>
      <w:tab/>
      <w:tab/>
      <w:tab/>
      <w:tab/>
      <w:tab/>
      <w:tab/>
      <w:tab/>
      <w:tab/>
      <w:tab/>
      <w:tab/>
      <w:tab/>
      <w:tab/>
      <w:t xml:space="preserve">       Page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PAGE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 xml:space="preserve"> sur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NUMPAGES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639" w:leader="none"/>
      </w:tabs>
      <w:ind w:right="-1"/>
      <w:jc w:val="both"/>
      <w:rPr/>
    </w:pPr>
    <w:r>
      <w:rPr>
        <w:rFonts w:ascii="Marianne Light" w:hAnsi="Marianne Light"/>
        <w:b/>
        <w:i w:val="false"/>
        <w:iCs w:val="false"/>
        <w:color w:val="BABABA"/>
        <w:sz w:val="16"/>
        <w:szCs w:val="16"/>
        <w:shd w:fill="auto" w:val="clear"/>
      </w:rPr>
      <w:t>SGAMI SUD-OUEST / DIM / BZAI / ST-ASTIER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ab/>
      <w:tab/>
      <w:t xml:space="preserve">                  </w:t>
      <w:tab/>
      <w:tab/>
      <w:tab/>
      <w:tab/>
      <w:tab/>
      <w:tab/>
      <w:tab/>
      <w:tab/>
      <w:tab/>
      <w:tab/>
      <w:tab/>
      <w:tab/>
      <w:tab/>
      <w:tab/>
      <w:tab/>
      <w:tab/>
      <w:t xml:space="preserve">       Page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PAGE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2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t xml:space="preserve"> sur </w:t>
    </w:r>
    <w:r>
      <w:rPr>
        <w:rFonts w:ascii="Marianne Light" w:hAnsi="Marianne Light"/>
        <w:i w:val="false"/>
        <w:iCs w:val="false"/>
        <w:color w:val="BABABA"/>
        <w:sz w:val="16"/>
        <w:szCs w:val="16"/>
        <w:shd w:fill="auto" w:val="clear"/>
      </w:rPr>
      <w:fldChar w:fldCharType="begin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instrText xml:space="preserve"> NUMPAGES </w:instrTex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separate"/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t>6</w:t>
    </w:r>
    <w:r>
      <w:rPr>
        <w:sz w:val="16"/>
        <w:i w:val="false"/>
        <w:shd w:fill="auto" w:val="clear"/>
        <w:szCs w:val="16"/>
        <w:iCs w:val="false"/>
        <w:rFonts w:ascii="Marianne Light" w:hAnsi="Marianne Light"/>
        <w:color w:val="BABABA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bullet"/>
      <w:lvlText w:val="-"/>
      <w:lvlJc w:val="left"/>
      <w:pPr>
        <w:tabs>
          <w:tab w:val="num" w:pos="0"/>
        </w:tabs>
        <w:ind w:left="795" w:hanging="360"/>
      </w:pPr>
      <w:rPr>
        <w:rFonts w:ascii="Times" w:hAnsi="Times" w:cs="Time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92" w:hanging="432"/>
      </w:pPr>
      <w:rPr>
        <w:sz w:val="22"/>
        <w:b w:val="false"/>
        <w:szCs w:val="22"/>
        <w:bCs w:val="false"/>
        <w:rFonts w:ascii="Tahoma" w:hAnsi="Tahoma" w:cs="Tahoma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936" w:hanging="576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1224" w:hanging="864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368" w:hanging="1008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512" w:hanging="1152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656" w:hanging="1296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94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74426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" w:hAnsi="Times" w:eastAsia="Times New Roman" w:cs="Times"/>
      <w:color w:val="auto"/>
      <w:kern w:val="0"/>
      <w:sz w:val="20"/>
      <w:szCs w:val="20"/>
      <w:lang w:val="fr-FR" w:eastAsia="fr-FR" w:bidi="ar-SA"/>
    </w:rPr>
  </w:style>
  <w:style w:type="paragraph" w:styleId="Heading7">
    <w:name w:val="Heading 7"/>
    <w:basedOn w:val="Normal"/>
    <w:next w:val="Normal"/>
    <w:qFormat/>
    <w:pPr>
      <w:keepNext w:val="true"/>
      <w:numPr>
        <w:ilvl w:val="0"/>
        <w:numId w:val="2"/>
      </w:numPr>
      <w:spacing w:lineRule="auto" w:line="360"/>
      <w:ind w:hanging="0" w:left="0" w:right="-48"/>
      <w:jc w:val="center"/>
      <w:outlineLvl w:val="6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qFormat/>
    <w:rsid w:val="008f669e"/>
    <w:rPr>
      <w:rFonts w:ascii="Tahoma" w:hAnsi="Tahoma" w:cs="Tahoma"/>
      <w:sz w:val="16"/>
      <w:szCs w:val="16"/>
    </w:rPr>
  </w:style>
  <w:style w:type="character" w:styleId="En-tteCar" w:customStyle="1">
    <w:name w:val="En-tête Car"/>
    <w:basedOn w:val="DefaultParagraphFont"/>
    <w:qFormat/>
    <w:rsid w:val="00150b11"/>
    <w:rPr>
      <w:rFonts w:ascii="Times" w:hAnsi="Times" w:cs="Times"/>
    </w:rPr>
  </w:style>
  <w:style w:type="character" w:styleId="PieddepageCar" w:customStyle="1">
    <w:name w:val="Pied de page Car"/>
    <w:basedOn w:val="DefaultParagraphFont"/>
    <w:uiPriority w:val="99"/>
    <w:qFormat/>
    <w:rsid w:val="00150b11"/>
    <w:rPr>
      <w:rFonts w:ascii="Times" w:hAnsi="Times" w:cs="Times"/>
    </w:rPr>
  </w:style>
  <w:style w:type="character" w:styleId="05ARTICLENiv1-TexteCar" w:customStyle="1">
    <w:name w:val="05_ARTICLE_Niv1 - Texte Car"/>
    <w:qFormat/>
    <w:rsid w:val="005e6d3b"/>
    <w:rPr>
      <w:rFonts w:ascii="Arial" w:hAnsi="Arial"/>
    </w:rPr>
  </w:style>
  <w:style w:type="character" w:styleId="WW8Num3z0">
    <w:name w:val="WW8Num3z0"/>
    <w:qFormat/>
    <w:rPr>
      <w:rFonts w:ascii="Tahoma" w:hAnsi="Tahoma" w:cs="Tahoma"/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Indent">
    <w:name w:val="Normal Indent"/>
    <w:basedOn w:val="Normal"/>
    <w:qFormat/>
    <w:rsid w:val="00674426"/>
    <w:pPr>
      <w:jc w:val="both"/>
    </w:pPr>
    <w:rPr>
      <w:rFonts w:ascii="Arial" w:hAnsi="Arial" w:cs="Arial"/>
      <w:color w:val="0000FF"/>
    </w:rPr>
  </w:style>
  <w:style w:type="paragraph" w:styleId="DefaultParagraphFontParaCharCarCarCarCarCarCarCarCarCarCarCarCarCarCarCarCarCar" w:customStyle="1">
    <w:name w:val="Default Paragraph Font Para Char Car Car Car Car Car Car Car Car Car Car Car Car Car Car Car Car Car"/>
    <w:basedOn w:val="Normal"/>
    <w:qFormat/>
    <w:rsid w:val="00601275"/>
    <w:pPr>
      <w:overflowPunct w:val="false"/>
      <w:spacing w:lineRule="exact" w:line="240" w:before="0" w:after="160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TextedebullesCar"/>
    <w:qFormat/>
    <w:rsid w:val="008f669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527e"/>
    <w:pPr>
      <w:spacing w:before="0" w:after="0"/>
      <w:ind w:hanging="0" w:left="720"/>
      <w:contextualSpacing/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nhideWhenUsed/>
    <w:rsid w:val="00150b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150b1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05ARTICLENiv1-Texte" w:customStyle="1">
    <w:name w:val="05_ARTICLE_Niv1 - Texte"/>
    <w:qFormat/>
    <w:rsid w:val="005e6d3b"/>
    <w:pPr>
      <w:widowControl/>
      <w:tabs>
        <w:tab w:val="clear" w:pos="708"/>
        <w:tab w:val="left" w:pos="9356" w:leader="dot"/>
      </w:tabs>
      <w:suppressAutoHyphens w:val="true"/>
      <w:bidi w:val="0"/>
      <w:spacing w:before="0" w:after="120"/>
      <w:jc w:val="both"/>
    </w:pPr>
    <w:rPr>
      <w:rFonts w:ascii="Arial" w:hAnsi="Arial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Corpsdetexte2">
    <w:name w:val="Corps de texte 2"/>
    <w:basedOn w:val="Normal"/>
    <w:qFormat/>
    <w:pPr/>
    <w:rPr>
      <w:rFonts w:ascii="Arial" w:hAnsi="Arial" w:cs="Arial"/>
      <w:sz w:val="28"/>
    </w:rPr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3">
    <w:name w:val="WW8Num3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3450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574</Words>
  <Characters>2926</Characters>
  <CharactersWithSpaces>3531</CharactersWithSpaces>
  <Paragraphs>88</Paragraphs>
  <Company>SEMDAS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2025-07-23T17:10:28Z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